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D56" w:rsidRPr="008F7787" w:rsidRDefault="00D01D56" w:rsidP="00D01D56">
      <w:pPr>
        <w:spacing w:line="360" w:lineRule="auto"/>
        <w:ind w:firstLineChars="200" w:firstLine="420"/>
        <w:rPr>
          <w:rFonts w:hint="eastAsia"/>
        </w:rPr>
      </w:pPr>
      <w:bookmarkStart w:id="0" w:name="_GoBack"/>
      <w:bookmarkEnd w:id="0"/>
      <w:r w:rsidRPr="008F7787">
        <w:rPr>
          <w:rFonts w:hint="eastAsia"/>
        </w:rPr>
        <w:t>肺癌是世界范围内恶性肿瘤中威胁人类健康的头号杀手，</w:t>
      </w:r>
      <w:r w:rsidRPr="008F7787">
        <w:rPr>
          <w:rFonts w:hint="eastAsia"/>
        </w:rPr>
        <w:t>2009</w:t>
      </w:r>
      <w:r w:rsidRPr="008F7787">
        <w:rPr>
          <w:rFonts w:hint="eastAsia"/>
        </w:rPr>
        <w:t>年</w:t>
      </w:r>
      <w:r w:rsidR="00257E36" w:rsidRPr="008F7787">
        <w:rPr>
          <w:rFonts w:hint="eastAsia"/>
        </w:rPr>
        <w:t>EML4-ALK</w:t>
      </w:r>
      <w:r w:rsidRPr="008F7787">
        <w:rPr>
          <w:rFonts w:hint="eastAsia"/>
        </w:rPr>
        <w:t>美国肺癌和支气管癌的新发病例估计为</w:t>
      </w:r>
      <w:r w:rsidRPr="008F7787">
        <w:rPr>
          <w:rFonts w:hint="eastAsia"/>
        </w:rPr>
        <w:t>219440</w:t>
      </w:r>
      <w:r w:rsidRPr="008F7787">
        <w:rPr>
          <w:rFonts w:hint="eastAsia"/>
        </w:rPr>
        <w:t>例（男性</w:t>
      </w:r>
      <w:r w:rsidRPr="008F7787">
        <w:rPr>
          <w:rFonts w:hint="eastAsia"/>
        </w:rPr>
        <w:t>116090</w:t>
      </w:r>
      <w:r w:rsidRPr="008F7787">
        <w:rPr>
          <w:rFonts w:hint="eastAsia"/>
        </w:rPr>
        <w:t>例，女性</w:t>
      </w:r>
      <w:r w:rsidRPr="008F7787">
        <w:rPr>
          <w:rFonts w:hint="eastAsia"/>
        </w:rPr>
        <w:t>103305</w:t>
      </w:r>
      <w:r w:rsidRPr="008F7787">
        <w:rPr>
          <w:rFonts w:hint="eastAsia"/>
        </w:rPr>
        <w:t>例），死亡</w:t>
      </w:r>
      <w:r w:rsidRPr="008F7787">
        <w:rPr>
          <w:rFonts w:hint="eastAsia"/>
        </w:rPr>
        <w:t>159306</w:t>
      </w:r>
      <w:r w:rsidRPr="008F7787">
        <w:rPr>
          <w:rFonts w:hint="eastAsia"/>
        </w:rPr>
        <w:t>例（男性</w:t>
      </w:r>
      <w:r w:rsidRPr="008F7787">
        <w:rPr>
          <w:rFonts w:hint="eastAsia"/>
        </w:rPr>
        <w:t>88900</w:t>
      </w:r>
      <w:r w:rsidRPr="008F7787">
        <w:rPr>
          <w:rFonts w:hint="eastAsia"/>
        </w:rPr>
        <w:t>例，女性</w:t>
      </w:r>
      <w:r w:rsidRPr="008F7787">
        <w:rPr>
          <w:rFonts w:hint="eastAsia"/>
        </w:rPr>
        <w:t>103350</w:t>
      </w:r>
      <w:r w:rsidRPr="008F7787">
        <w:rPr>
          <w:rFonts w:hint="eastAsia"/>
        </w:rPr>
        <w:t>例）。据美国</w:t>
      </w:r>
      <w:r w:rsidRPr="008F7787">
        <w:rPr>
          <w:rFonts w:hint="eastAsia"/>
        </w:rPr>
        <w:t>SEER</w:t>
      </w:r>
      <w:r w:rsidRPr="008F7787">
        <w:rPr>
          <w:rFonts w:hint="eastAsia"/>
        </w:rPr>
        <w:t>统计数据显示，在肺癌确诊时，</w:t>
      </w:r>
      <w:r w:rsidRPr="008F7787">
        <w:rPr>
          <w:rFonts w:hint="eastAsia"/>
        </w:rPr>
        <w:t>16%</w:t>
      </w:r>
      <w:r w:rsidRPr="008F7787">
        <w:rPr>
          <w:rFonts w:hint="eastAsia"/>
        </w:rPr>
        <w:t>的</w:t>
      </w:r>
      <w:proofErr w:type="spellStart"/>
      <w:r w:rsidR="00257E36" w:rsidRPr="008F7787">
        <w:rPr>
          <w:rFonts w:hint="eastAsia"/>
        </w:rPr>
        <w:t>bcr-abl</w:t>
      </w:r>
      <w:proofErr w:type="spellEnd"/>
      <w:r w:rsidRPr="008F7787">
        <w:rPr>
          <w:rFonts w:hint="eastAsia"/>
        </w:rPr>
        <w:t>患者肿瘤仍局限在原发部位，</w:t>
      </w:r>
      <w:r w:rsidRPr="008F7787">
        <w:rPr>
          <w:rFonts w:hint="eastAsia"/>
        </w:rPr>
        <w:t>25%</w:t>
      </w:r>
      <w:r w:rsidRPr="008F7787">
        <w:rPr>
          <w:rFonts w:hint="eastAsia"/>
        </w:rPr>
        <w:t>的患者肿瘤已扩展至区域淋巴结或直接侵犯周围组织，</w:t>
      </w:r>
      <w:r w:rsidRPr="008F7787">
        <w:rPr>
          <w:rFonts w:hint="eastAsia"/>
        </w:rPr>
        <w:t>51%</w:t>
      </w:r>
      <w:r w:rsidRPr="008F7787">
        <w:rPr>
          <w:rFonts w:hint="eastAsia"/>
        </w:rPr>
        <w:t>的患者已发生远处转移，其余</w:t>
      </w:r>
      <w:r w:rsidRPr="008F7787">
        <w:rPr>
          <w:rFonts w:hint="eastAsia"/>
        </w:rPr>
        <w:t>8%</w:t>
      </w:r>
      <w:r w:rsidRPr="008F7787">
        <w:rPr>
          <w:rFonts w:hint="eastAsia"/>
        </w:rPr>
        <w:t>的患者信息不明，只有</w:t>
      </w:r>
      <w:r w:rsidRPr="008F7787">
        <w:rPr>
          <w:rFonts w:hint="eastAsia"/>
        </w:rPr>
        <w:t>15%</w:t>
      </w:r>
      <w:r w:rsidRPr="008F7787">
        <w:rPr>
          <w:rFonts w:hint="eastAsia"/>
        </w:rPr>
        <w:t>的患者在确诊后能生存</w:t>
      </w:r>
      <w:r w:rsidRPr="008F7787">
        <w:rPr>
          <w:rFonts w:hint="eastAsia"/>
        </w:rPr>
        <w:t>5</w:t>
      </w:r>
      <w:r w:rsidRPr="008F7787">
        <w:rPr>
          <w:rFonts w:hint="eastAsia"/>
        </w:rPr>
        <w:t>年或以上。我国每年新增的肺癌患者已超过</w:t>
      </w:r>
      <w:r w:rsidRPr="008F7787">
        <w:rPr>
          <w:rFonts w:hint="eastAsia"/>
        </w:rPr>
        <w:t>50</w:t>
      </w:r>
      <w:r w:rsidRPr="008F7787">
        <w:rPr>
          <w:rFonts w:hint="eastAsia"/>
        </w:rPr>
        <w:t>万，每年死于肺癌的人数超过</w:t>
      </w:r>
      <w:r w:rsidRPr="008F7787">
        <w:rPr>
          <w:rFonts w:hint="eastAsia"/>
        </w:rPr>
        <w:t>40</w:t>
      </w:r>
      <w:r w:rsidRPr="008F7787">
        <w:rPr>
          <w:rFonts w:hint="eastAsia"/>
        </w:rPr>
        <w:t>万，肺癌患者总数居世界第一且肺癌发病率日趋增高，严重危害了国人的健康。</w:t>
      </w:r>
    </w:p>
    <w:p w:rsidR="00D01D56" w:rsidRPr="008F7787" w:rsidRDefault="00D01D56" w:rsidP="00D01D56">
      <w:pPr>
        <w:spacing w:line="360" w:lineRule="auto"/>
        <w:ind w:firstLineChars="200" w:firstLine="420"/>
        <w:rPr>
          <w:rFonts w:hint="eastAsia"/>
        </w:rPr>
      </w:pPr>
      <w:r w:rsidRPr="008F7787">
        <w:rPr>
          <w:rFonts w:hint="eastAsia"/>
        </w:rPr>
        <w:t>肺癌的病因及发病机制目前尚不完全明确，肺癌</w:t>
      </w:r>
      <w:r w:rsidR="00257E36" w:rsidRPr="008F7787">
        <w:t>E2A</w:t>
      </w:r>
      <w:r w:rsidR="00257E36" w:rsidRPr="008F7787">
        <w:rPr>
          <w:rFonts w:hint="eastAsia"/>
        </w:rPr>
        <w:t>-</w:t>
      </w:r>
      <w:r w:rsidR="00257E36" w:rsidRPr="008F7787">
        <w:t>PBX1</w:t>
      </w:r>
      <w:r w:rsidR="00257E36" w:rsidRPr="008F7787">
        <w:rPr>
          <w:rFonts w:hint="eastAsia"/>
        </w:rPr>
        <w:t>、</w:t>
      </w:r>
      <w:r w:rsidR="00257E36" w:rsidRPr="008F7787">
        <w:t>CBFb</w:t>
      </w:r>
      <w:r w:rsidR="00257E36" w:rsidRPr="008F7787">
        <w:rPr>
          <w:rFonts w:hint="eastAsia"/>
        </w:rPr>
        <w:t>-</w:t>
      </w:r>
      <w:r w:rsidR="00257E36" w:rsidRPr="008F7787">
        <w:t>MYH11</w:t>
      </w:r>
      <w:r w:rsidRPr="008F7787">
        <w:rPr>
          <w:rFonts w:hint="eastAsia"/>
        </w:rPr>
        <w:t>仍是肿瘤治疗中的难点之一。随着新一代化疗药物的出现，肺癌治疗有了一定程度的提高，但肺癌患者的总生存率仍然较低。近年来，随着肿瘤个体化治疗理念的提倡、分子检测技术的进步和</w:t>
      </w:r>
      <w:proofErr w:type="gramStart"/>
      <w:r w:rsidRPr="008F7787">
        <w:rPr>
          <w:rFonts w:hint="eastAsia"/>
        </w:rPr>
        <w:t>靶向</w:t>
      </w:r>
      <w:proofErr w:type="gramEnd"/>
      <w:r w:rsidRPr="008F7787">
        <w:rPr>
          <w:rFonts w:hint="eastAsia"/>
        </w:rPr>
        <w:t>治疗药物的不断推出，肺癌驱动基因检测指导下的</w:t>
      </w:r>
      <w:r w:rsidR="00257E36" w:rsidRPr="008F7787">
        <w:t>AML1</w:t>
      </w:r>
      <w:r w:rsidR="00257E36" w:rsidRPr="008F7787">
        <w:rPr>
          <w:rFonts w:hint="eastAsia"/>
        </w:rPr>
        <w:t>-</w:t>
      </w:r>
      <w:r w:rsidR="00257E36" w:rsidRPr="008F7787">
        <w:t>ETO</w:t>
      </w:r>
      <w:r w:rsidRPr="008F7787">
        <w:rPr>
          <w:rFonts w:hint="eastAsia"/>
        </w:rPr>
        <w:t>个体化治疗引起了众多学者的关注和探讨。</w:t>
      </w:r>
    </w:p>
    <w:p w:rsidR="00D01D56" w:rsidRPr="008F7787" w:rsidRDefault="00D01D56" w:rsidP="00D01D56">
      <w:pPr>
        <w:spacing w:line="360" w:lineRule="auto"/>
        <w:ind w:firstLineChars="200" w:firstLine="420"/>
        <w:rPr>
          <w:rFonts w:hint="eastAsia"/>
        </w:rPr>
      </w:pPr>
      <w:r w:rsidRPr="008F7787">
        <w:rPr>
          <w:rFonts w:hint="eastAsia"/>
        </w:rPr>
        <w:t>驱动基因指导个体化治疗的临床研究</w:t>
      </w:r>
      <w:r w:rsidR="00257E36" w:rsidRPr="008F7787">
        <w:t>PML</w:t>
      </w:r>
      <w:r w:rsidR="00257E36" w:rsidRPr="008F7787">
        <w:rPr>
          <w:rFonts w:hint="eastAsia"/>
        </w:rPr>
        <w:t>-</w:t>
      </w:r>
      <w:proofErr w:type="spellStart"/>
      <w:r w:rsidR="00257E36" w:rsidRPr="008F7787">
        <w:t>RARa</w:t>
      </w:r>
      <w:proofErr w:type="spellEnd"/>
      <w:r w:rsidR="00257E36" w:rsidRPr="008F7787">
        <w:rPr>
          <w:rFonts w:hint="eastAsia"/>
        </w:rPr>
        <w:t>和</w:t>
      </w:r>
      <w:r w:rsidR="00257E36" w:rsidRPr="008F7787">
        <w:t>BCR</w:t>
      </w:r>
      <w:r w:rsidR="00257E36" w:rsidRPr="008F7787">
        <w:rPr>
          <w:rFonts w:hint="eastAsia"/>
        </w:rPr>
        <w:t>-</w:t>
      </w:r>
      <w:r w:rsidR="00257E36" w:rsidRPr="008F7787">
        <w:t>ABL</w:t>
      </w:r>
      <w:r w:rsidR="00257E36" w:rsidRPr="008F7787">
        <w:rPr>
          <w:rFonts w:hint="eastAsia"/>
        </w:rPr>
        <w:t>。</w:t>
      </w:r>
    </w:p>
    <w:p w:rsidR="00D01D56" w:rsidRPr="008F7787" w:rsidRDefault="00D01D56" w:rsidP="00D01D56">
      <w:pPr>
        <w:spacing w:line="360" w:lineRule="auto"/>
        <w:ind w:firstLineChars="200" w:firstLine="420"/>
        <w:rPr>
          <w:rFonts w:hint="eastAsia"/>
        </w:rPr>
      </w:pPr>
      <w:r w:rsidRPr="008F7787">
        <w:rPr>
          <w:rFonts w:hint="eastAsia"/>
        </w:rPr>
        <w:t>在恶性肿瘤包括肺癌的临床研究中，一个令人困惑的问题就是同一分期、同一病理类型的恶性肿瘤患者，采用相同的治疗方案，其疗效如生存期</w:t>
      </w:r>
      <w:proofErr w:type="gramStart"/>
      <w:r w:rsidRPr="008F7787">
        <w:rPr>
          <w:rFonts w:hint="eastAsia"/>
        </w:rPr>
        <w:t>确可能</w:t>
      </w:r>
      <w:proofErr w:type="gramEnd"/>
      <w:r w:rsidRPr="008F7787">
        <w:rPr>
          <w:rFonts w:hint="eastAsia"/>
        </w:rPr>
        <w:t>存在明显差异。随着人类基因组计划的完成，我们逐渐意识到同一类型肿瘤的细胞分子生物学差异可能是导致疾病个体化差异的原因所在，而从理论上</w:t>
      </w:r>
      <w:proofErr w:type="gramStart"/>
      <w:r w:rsidRPr="008F7787">
        <w:rPr>
          <w:rFonts w:hint="eastAsia"/>
        </w:rPr>
        <w:t>讲利用</w:t>
      </w:r>
      <w:proofErr w:type="gramEnd"/>
      <w:r w:rsidRPr="008F7787">
        <w:rPr>
          <w:rFonts w:hint="eastAsia"/>
        </w:rPr>
        <w:t>这种差异进行疾病的个体化治疗也是完全可行的。</w:t>
      </w:r>
    </w:p>
    <w:p w:rsidR="00D01D56" w:rsidRPr="008F7787" w:rsidRDefault="00D01D56" w:rsidP="00D01D56">
      <w:pPr>
        <w:spacing w:line="360" w:lineRule="auto"/>
        <w:ind w:firstLineChars="200" w:firstLine="420"/>
        <w:rPr>
          <w:rFonts w:hint="eastAsia"/>
        </w:rPr>
      </w:pPr>
      <w:r w:rsidRPr="008F7787">
        <w:rPr>
          <w:rFonts w:hint="eastAsia"/>
        </w:rPr>
        <w:t>2011</w:t>
      </w:r>
      <w:r w:rsidRPr="008F7787">
        <w:rPr>
          <w:rFonts w:hint="eastAsia"/>
        </w:rPr>
        <w:t>年美国临床肿瘤学会（</w:t>
      </w:r>
      <w:r w:rsidRPr="008F7787">
        <w:rPr>
          <w:rFonts w:hint="eastAsia"/>
        </w:rPr>
        <w:t>ASCO</w:t>
      </w:r>
      <w:r w:rsidRPr="008F7787">
        <w:rPr>
          <w:rFonts w:hint="eastAsia"/>
        </w:rPr>
        <w:t>）年会上，纪念斯隆</w:t>
      </w:r>
      <w:r w:rsidRPr="008F7787">
        <w:rPr>
          <w:rFonts w:hint="eastAsia"/>
        </w:rPr>
        <w:t>-</w:t>
      </w:r>
      <w:proofErr w:type="gramStart"/>
      <w:r w:rsidRPr="008F7787">
        <w:rPr>
          <w:rFonts w:hint="eastAsia"/>
        </w:rPr>
        <w:t>凯</w:t>
      </w:r>
      <w:proofErr w:type="gramEnd"/>
      <w:r w:rsidRPr="008F7787">
        <w:rPr>
          <w:rFonts w:hint="eastAsia"/>
        </w:rPr>
        <w:t>特琳癌症中心胸腔肿瘤科主任</w:t>
      </w:r>
      <w:r w:rsidRPr="008F7787">
        <w:rPr>
          <w:rFonts w:hint="eastAsia"/>
        </w:rPr>
        <w:t>Mark Kris</w:t>
      </w:r>
      <w:r w:rsidRPr="008F7787">
        <w:rPr>
          <w:rFonts w:hint="eastAsia"/>
        </w:rPr>
        <w:t>博士报告了肺癌突变联盟（</w:t>
      </w:r>
      <w:r w:rsidRPr="008F7787">
        <w:rPr>
          <w:rFonts w:hint="eastAsia"/>
        </w:rPr>
        <w:t>LCMC</w:t>
      </w:r>
      <w:r w:rsidRPr="008F7787">
        <w:rPr>
          <w:rFonts w:hint="eastAsia"/>
        </w:rPr>
        <w:t>）项目的研究内容。</w:t>
      </w:r>
      <w:r w:rsidRPr="008F7787">
        <w:rPr>
          <w:rFonts w:hint="eastAsia"/>
        </w:rPr>
        <w:t>LCMC</w:t>
      </w:r>
      <w:r w:rsidRPr="008F7787">
        <w:rPr>
          <w:rFonts w:hint="eastAsia"/>
        </w:rPr>
        <w:t>由美国国立癌症研究所（</w:t>
      </w:r>
      <w:r w:rsidRPr="008F7787">
        <w:rPr>
          <w:rFonts w:hint="eastAsia"/>
        </w:rPr>
        <w:t>NCI</w:t>
      </w:r>
      <w:r w:rsidRPr="008F7787">
        <w:rPr>
          <w:rFonts w:hint="eastAsia"/>
        </w:rPr>
        <w:t>）发起、全美</w:t>
      </w:r>
      <w:r w:rsidRPr="008F7787">
        <w:rPr>
          <w:rFonts w:hint="eastAsia"/>
        </w:rPr>
        <w:t>14</w:t>
      </w:r>
      <w:r w:rsidRPr="008F7787">
        <w:rPr>
          <w:rFonts w:hint="eastAsia"/>
        </w:rPr>
        <w:t>家医疗中心参与。目前</w:t>
      </w:r>
      <w:r w:rsidRPr="008F7787">
        <w:rPr>
          <w:rFonts w:hint="eastAsia"/>
        </w:rPr>
        <w:t>LCMC</w:t>
      </w:r>
      <w:r w:rsidRPr="008F7787">
        <w:rPr>
          <w:rFonts w:hint="eastAsia"/>
        </w:rPr>
        <w:t>正开展一项前瞻性研究，采用一种可以检测出</w:t>
      </w:r>
      <w:r w:rsidRPr="008F7787">
        <w:rPr>
          <w:rFonts w:hint="eastAsia"/>
        </w:rPr>
        <w:t>10</w:t>
      </w:r>
      <w:r w:rsidRPr="008F7787">
        <w:rPr>
          <w:rFonts w:hint="eastAsia"/>
        </w:rPr>
        <w:t>种已知驱动突变（</w:t>
      </w:r>
      <w:r w:rsidRPr="008F7787">
        <w:rPr>
          <w:rFonts w:hint="eastAsia"/>
        </w:rPr>
        <w:t>driver mutation</w:t>
      </w:r>
      <w:r w:rsidRPr="008F7787">
        <w:rPr>
          <w:rFonts w:hint="eastAsia"/>
        </w:rPr>
        <w:t>）的多重检测方法对肺癌组织进行评估。</w:t>
      </w:r>
      <w:r w:rsidRPr="008F7787">
        <w:rPr>
          <w:rFonts w:hint="eastAsia"/>
        </w:rPr>
        <w:t>10</w:t>
      </w:r>
      <w:r w:rsidRPr="008F7787">
        <w:rPr>
          <w:rFonts w:hint="eastAsia"/>
        </w:rPr>
        <w:t>种已知的驱动基因包括：</w:t>
      </w:r>
      <w:r w:rsidRPr="008F7787">
        <w:rPr>
          <w:rFonts w:hint="eastAsia"/>
        </w:rPr>
        <w:t>EGFR</w:t>
      </w:r>
      <w:r w:rsidRPr="008F7787">
        <w:rPr>
          <w:rFonts w:hint="eastAsia"/>
        </w:rPr>
        <w:t>、</w:t>
      </w:r>
      <w:r w:rsidRPr="008F7787">
        <w:rPr>
          <w:rFonts w:hint="eastAsia"/>
        </w:rPr>
        <w:t>ALK</w:t>
      </w:r>
      <w:r w:rsidRPr="008F7787">
        <w:rPr>
          <w:rFonts w:hint="eastAsia"/>
        </w:rPr>
        <w:t>、</w:t>
      </w:r>
      <w:r w:rsidRPr="008F7787">
        <w:rPr>
          <w:rFonts w:hint="eastAsia"/>
        </w:rPr>
        <w:t>KRAS</w:t>
      </w:r>
      <w:r w:rsidRPr="008F7787">
        <w:rPr>
          <w:rFonts w:hint="eastAsia"/>
        </w:rPr>
        <w:t>、</w:t>
      </w:r>
      <w:r w:rsidRPr="008F7787">
        <w:rPr>
          <w:rFonts w:hint="eastAsia"/>
        </w:rPr>
        <w:t>HER2</w:t>
      </w:r>
      <w:r w:rsidRPr="008F7787">
        <w:rPr>
          <w:rFonts w:hint="eastAsia"/>
        </w:rPr>
        <w:t>、</w:t>
      </w:r>
      <w:r w:rsidRPr="008F7787">
        <w:rPr>
          <w:rFonts w:hint="eastAsia"/>
        </w:rPr>
        <w:t>BRAF</w:t>
      </w:r>
      <w:r w:rsidRPr="008F7787">
        <w:rPr>
          <w:rFonts w:hint="eastAsia"/>
        </w:rPr>
        <w:t>、</w:t>
      </w:r>
      <w:r w:rsidRPr="008F7787">
        <w:rPr>
          <w:rFonts w:hint="eastAsia"/>
        </w:rPr>
        <w:t>PIK3CA</w:t>
      </w:r>
      <w:r w:rsidRPr="008F7787">
        <w:rPr>
          <w:rFonts w:hint="eastAsia"/>
        </w:rPr>
        <w:t>、</w:t>
      </w:r>
      <w:r w:rsidRPr="008F7787">
        <w:rPr>
          <w:rFonts w:hint="eastAsia"/>
        </w:rPr>
        <w:t>AKTI</w:t>
      </w:r>
      <w:r w:rsidRPr="008F7787">
        <w:rPr>
          <w:rFonts w:hint="eastAsia"/>
        </w:rPr>
        <w:t>、</w:t>
      </w:r>
      <w:r w:rsidRPr="008F7787">
        <w:rPr>
          <w:rFonts w:hint="eastAsia"/>
        </w:rPr>
        <w:t>MEKI</w:t>
      </w:r>
      <w:r w:rsidRPr="008F7787">
        <w:rPr>
          <w:rFonts w:hint="eastAsia"/>
        </w:rPr>
        <w:t>、</w:t>
      </w:r>
      <w:r w:rsidRPr="008F7787">
        <w:rPr>
          <w:rFonts w:hint="eastAsia"/>
        </w:rPr>
        <w:t>NRAS</w:t>
      </w:r>
      <w:r w:rsidR="00B02E5F" w:rsidRPr="008F7787">
        <w:rPr>
          <w:rFonts w:hint="eastAsia"/>
        </w:rPr>
        <w:t>和</w:t>
      </w:r>
      <w:r w:rsidRPr="008F7787">
        <w:rPr>
          <w:rFonts w:hint="eastAsia"/>
        </w:rPr>
        <w:t>MET</w:t>
      </w:r>
      <w:r w:rsidRPr="008F7787">
        <w:rPr>
          <w:rFonts w:hint="eastAsia"/>
        </w:rPr>
        <w:t>。其中大多都有相应的靶</w:t>
      </w:r>
      <w:proofErr w:type="gramStart"/>
      <w:r w:rsidRPr="008F7787">
        <w:rPr>
          <w:rFonts w:hint="eastAsia"/>
        </w:rPr>
        <w:t>向治疗</w:t>
      </w:r>
      <w:proofErr w:type="gramEnd"/>
      <w:r w:rsidRPr="008F7787">
        <w:rPr>
          <w:rFonts w:hint="eastAsia"/>
        </w:rPr>
        <w:t>药物正在研发中，如针对</w:t>
      </w:r>
      <w:r w:rsidRPr="008F7787">
        <w:rPr>
          <w:rFonts w:hint="eastAsia"/>
        </w:rPr>
        <w:t>HER2</w:t>
      </w:r>
      <w:r w:rsidRPr="008F7787">
        <w:rPr>
          <w:rFonts w:hint="eastAsia"/>
        </w:rPr>
        <w:t>的靶</w:t>
      </w:r>
      <w:proofErr w:type="gramStart"/>
      <w:r w:rsidRPr="008F7787">
        <w:rPr>
          <w:rFonts w:hint="eastAsia"/>
        </w:rPr>
        <w:t>向药物曲妥珠单抗和拉帕替尼</w:t>
      </w:r>
      <w:proofErr w:type="gramEnd"/>
      <w:r w:rsidRPr="008F7787">
        <w:rPr>
          <w:rFonts w:hint="eastAsia"/>
        </w:rPr>
        <w:t>目前已获</w:t>
      </w:r>
      <w:r w:rsidRPr="008F7787">
        <w:rPr>
          <w:rFonts w:hint="eastAsia"/>
        </w:rPr>
        <w:t>FDA</w:t>
      </w:r>
      <w:r w:rsidRPr="008F7787">
        <w:rPr>
          <w:rFonts w:hint="eastAsia"/>
        </w:rPr>
        <w:t>批准用于乳腺癌的治疗。</w:t>
      </w:r>
    </w:p>
    <w:p w:rsidR="008E16AB" w:rsidRPr="008F7787" w:rsidRDefault="00D01D56" w:rsidP="00D01D56">
      <w:pPr>
        <w:spacing w:line="360" w:lineRule="auto"/>
        <w:ind w:firstLineChars="200" w:firstLine="420"/>
        <w:rPr>
          <w:rFonts w:hint="eastAsia"/>
        </w:rPr>
      </w:pPr>
      <w:r w:rsidRPr="008F7787">
        <w:rPr>
          <w:rFonts w:hint="eastAsia"/>
        </w:rPr>
        <w:t>研究入组了</w:t>
      </w:r>
      <w:r w:rsidRPr="008F7787">
        <w:rPr>
          <w:rFonts w:hint="eastAsia"/>
        </w:rPr>
        <w:t xml:space="preserve">830 </w:t>
      </w:r>
      <w:r w:rsidRPr="008F7787">
        <w:rPr>
          <w:rFonts w:hint="eastAsia"/>
        </w:rPr>
        <w:t>例</w:t>
      </w:r>
      <w:r w:rsidRPr="008F7787">
        <w:rPr>
          <w:rFonts w:hint="eastAsia"/>
        </w:rPr>
        <w:t xml:space="preserve">PS </w:t>
      </w:r>
      <w:r w:rsidRPr="008F7787">
        <w:rPr>
          <w:rFonts w:hint="eastAsia"/>
        </w:rPr>
        <w:t>评分为</w:t>
      </w:r>
      <w:r w:rsidRPr="008F7787">
        <w:rPr>
          <w:rFonts w:hint="eastAsia"/>
        </w:rPr>
        <w:t>0</w:t>
      </w:r>
      <w:r w:rsidRPr="008F7787">
        <w:rPr>
          <w:rFonts w:hint="eastAsia"/>
        </w:rPr>
        <w:t>～</w:t>
      </w:r>
      <w:r w:rsidRPr="008F7787">
        <w:rPr>
          <w:rFonts w:hint="eastAsia"/>
        </w:rPr>
        <w:t xml:space="preserve">2 </w:t>
      </w:r>
      <w:r w:rsidRPr="008F7787">
        <w:rPr>
          <w:rFonts w:hint="eastAsia"/>
        </w:rPr>
        <w:t>的Ⅲ</w:t>
      </w:r>
      <w:r w:rsidRPr="008F7787">
        <w:rPr>
          <w:rFonts w:hint="eastAsia"/>
        </w:rPr>
        <w:t>B~</w:t>
      </w:r>
      <w:r w:rsidRPr="008F7787">
        <w:rPr>
          <w:rFonts w:hint="eastAsia"/>
        </w:rPr>
        <w:t>Ⅳ</w:t>
      </w:r>
      <w:proofErr w:type="gramStart"/>
      <w:r w:rsidRPr="008F7787">
        <w:rPr>
          <w:rFonts w:hint="eastAsia"/>
        </w:rPr>
        <w:t>期肺腺癌</w:t>
      </w:r>
      <w:proofErr w:type="gramEnd"/>
      <w:r w:rsidRPr="008F7787">
        <w:rPr>
          <w:rFonts w:hint="eastAsia"/>
        </w:rPr>
        <w:t>患者，对</w:t>
      </w:r>
      <w:r w:rsidRPr="008F7787">
        <w:rPr>
          <w:rFonts w:hint="eastAsia"/>
        </w:rPr>
        <w:t>516</w:t>
      </w:r>
      <w:r w:rsidRPr="008F7787">
        <w:rPr>
          <w:rFonts w:hint="eastAsia"/>
        </w:rPr>
        <w:t>例肿瘤样本进行了全面的突变检测，部分病例因肿瘤组织样本不足未完成突变检测。结果显示，</w:t>
      </w:r>
      <w:r w:rsidRPr="008F7787">
        <w:rPr>
          <w:rFonts w:hint="eastAsia"/>
        </w:rPr>
        <w:t>60%</w:t>
      </w:r>
      <w:r w:rsidRPr="008F7787">
        <w:rPr>
          <w:rFonts w:hint="eastAsia"/>
        </w:rPr>
        <w:t>（</w:t>
      </w:r>
      <w:r w:rsidRPr="008F7787">
        <w:rPr>
          <w:rFonts w:hint="eastAsia"/>
        </w:rPr>
        <w:t>252/422</w:t>
      </w:r>
      <w:r w:rsidRPr="008F7787">
        <w:rPr>
          <w:rFonts w:hint="eastAsia"/>
        </w:rPr>
        <w:t>例）的肺癌患者有驱动基因的突变，其中</w:t>
      </w:r>
      <w:r w:rsidRPr="008F7787">
        <w:rPr>
          <w:rFonts w:hint="eastAsia"/>
        </w:rPr>
        <w:t>KRAS</w:t>
      </w:r>
      <w:r w:rsidRPr="008F7787">
        <w:rPr>
          <w:rFonts w:hint="eastAsia"/>
        </w:rPr>
        <w:t>突变</w:t>
      </w:r>
      <w:r w:rsidR="00542B25" w:rsidRPr="008F7787">
        <w:rPr>
          <w:rFonts w:hint="eastAsia"/>
        </w:rPr>
        <w:t>1</w:t>
      </w:r>
      <w:r w:rsidRPr="008F7787">
        <w:rPr>
          <w:rFonts w:hint="eastAsia"/>
        </w:rPr>
        <w:t xml:space="preserve">7 </w:t>
      </w:r>
      <w:r w:rsidRPr="008F7787">
        <w:rPr>
          <w:rFonts w:hint="eastAsia"/>
        </w:rPr>
        <w:t>例（</w:t>
      </w:r>
      <w:r w:rsidRPr="008F7787">
        <w:rPr>
          <w:rFonts w:hint="eastAsia"/>
        </w:rPr>
        <w:t>25%</w:t>
      </w:r>
      <w:r w:rsidRPr="008F7787">
        <w:rPr>
          <w:rFonts w:hint="eastAsia"/>
        </w:rPr>
        <w:t>）、</w:t>
      </w:r>
      <w:r w:rsidRPr="008F7787">
        <w:rPr>
          <w:rFonts w:hint="eastAsia"/>
        </w:rPr>
        <w:t>EGFR</w:t>
      </w:r>
      <w:r w:rsidRPr="008F7787">
        <w:rPr>
          <w:rFonts w:hint="eastAsia"/>
        </w:rPr>
        <w:t>突变</w:t>
      </w:r>
      <w:r w:rsidRPr="008F7787">
        <w:rPr>
          <w:rFonts w:hint="eastAsia"/>
        </w:rPr>
        <w:t xml:space="preserve">98 </w:t>
      </w:r>
      <w:r w:rsidRPr="008F7787">
        <w:rPr>
          <w:rFonts w:hint="eastAsia"/>
        </w:rPr>
        <w:t>例（</w:t>
      </w:r>
      <w:r w:rsidRPr="008F7787">
        <w:rPr>
          <w:rFonts w:hint="eastAsia"/>
        </w:rPr>
        <w:t>23%</w:t>
      </w:r>
      <w:r w:rsidRPr="008F7787">
        <w:rPr>
          <w:rFonts w:hint="eastAsia"/>
        </w:rPr>
        <w:t>）、</w:t>
      </w:r>
      <w:r w:rsidRPr="008F7787">
        <w:rPr>
          <w:rFonts w:hint="eastAsia"/>
        </w:rPr>
        <w:t xml:space="preserve">ALK </w:t>
      </w:r>
      <w:r w:rsidRPr="008F7787">
        <w:rPr>
          <w:rFonts w:hint="eastAsia"/>
        </w:rPr>
        <w:t>重排</w:t>
      </w:r>
      <w:r w:rsidRPr="008F7787">
        <w:rPr>
          <w:rFonts w:hint="eastAsia"/>
        </w:rPr>
        <w:t xml:space="preserve">14 </w:t>
      </w:r>
      <w:r w:rsidRPr="008F7787">
        <w:rPr>
          <w:rFonts w:hint="eastAsia"/>
        </w:rPr>
        <w:t>例（</w:t>
      </w:r>
      <w:r w:rsidRPr="008F7787">
        <w:rPr>
          <w:rFonts w:hint="eastAsia"/>
        </w:rPr>
        <w:t>6%</w:t>
      </w:r>
      <w:r w:rsidRPr="008F7787">
        <w:rPr>
          <w:rFonts w:hint="eastAsia"/>
        </w:rPr>
        <w:t>）、</w:t>
      </w:r>
      <w:r w:rsidRPr="008F7787">
        <w:rPr>
          <w:rFonts w:hint="eastAsia"/>
        </w:rPr>
        <w:t>BRAF</w:t>
      </w:r>
      <w:r w:rsidRPr="008F7787">
        <w:rPr>
          <w:rFonts w:hint="eastAsia"/>
        </w:rPr>
        <w:t>突变</w:t>
      </w:r>
      <w:r w:rsidRPr="008F7787">
        <w:rPr>
          <w:rFonts w:hint="eastAsia"/>
        </w:rPr>
        <w:t>12</w:t>
      </w:r>
      <w:r w:rsidRPr="008F7787">
        <w:rPr>
          <w:rFonts w:hint="eastAsia"/>
        </w:rPr>
        <w:t>例（</w:t>
      </w:r>
      <w:r w:rsidRPr="008F7787">
        <w:rPr>
          <w:rFonts w:hint="eastAsia"/>
        </w:rPr>
        <w:t>3%</w:t>
      </w:r>
      <w:r w:rsidRPr="008F7787">
        <w:rPr>
          <w:rFonts w:hint="eastAsia"/>
        </w:rPr>
        <w:t>）、</w:t>
      </w:r>
      <w:r w:rsidRPr="008F7787">
        <w:rPr>
          <w:rFonts w:hint="eastAsia"/>
        </w:rPr>
        <w:t xml:space="preserve">PIK3CA </w:t>
      </w:r>
      <w:r w:rsidRPr="008F7787">
        <w:rPr>
          <w:rFonts w:hint="eastAsia"/>
        </w:rPr>
        <w:t>突变</w:t>
      </w:r>
      <w:r w:rsidRPr="008F7787">
        <w:rPr>
          <w:rFonts w:hint="eastAsia"/>
        </w:rPr>
        <w:t>11</w:t>
      </w:r>
      <w:r w:rsidRPr="008F7787">
        <w:rPr>
          <w:rFonts w:hint="eastAsia"/>
        </w:rPr>
        <w:t>例（</w:t>
      </w:r>
      <w:r w:rsidRPr="008F7787">
        <w:rPr>
          <w:rFonts w:hint="eastAsia"/>
        </w:rPr>
        <w:t>3%</w:t>
      </w:r>
      <w:r w:rsidRPr="008F7787">
        <w:rPr>
          <w:rFonts w:hint="eastAsia"/>
        </w:rPr>
        <w:t>）、</w:t>
      </w:r>
      <w:r w:rsidRPr="008F7787">
        <w:rPr>
          <w:rFonts w:hint="eastAsia"/>
        </w:rPr>
        <w:t>MET</w:t>
      </w:r>
      <w:r w:rsidRPr="008F7787">
        <w:rPr>
          <w:rFonts w:hint="eastAsia"/>
        </w:rPr>
        <w:t>扩增</w:t>
      </w:r>
      <w:r w:rsidRPr="008F7787">
        <w:rPr>
          <w:rFonts w:hint="eastAsia"/>
        </w:rPr>
        <w:t>4</w:t>
      </w:r>
      <w:r w:rsidRPr="008F7787">
        <w:rPr>
          <w:rFonts w:hint="eastAsia"/>
        </w:rPr>
        <w:t>例（</w:t>
      </w:r>
      <w:r w:rsidRPr="008F7787">
        <w:rPr>
          <w:rFonts w:hint="eastAsia"/>
        </w:rPr>
        <w:t>2%</w:t>
      </w:r>
      <w:r w:rsidRPr="008F7787">
        <w:rPr>
          <w:rFonts w:hint="eastAsia"/>
        </w:rPr>
        <w:t>）、</w:t>
      </w:r>
      <w:r w:rsidRPr="008F7787">
        <w:rPr>
          <w:rFonts w:hint="eastAsia"/>
        </w:rPr>
        <w:t xml:space="preserve">HER2 </w:t>
      </w:r>
      <w:r w:rsidRPr="008F7787">
        <w:rPr>
          <w:rFonts w:hint="eastAsia"/>
        </w:rPr>
        <w:t>突变</w:t>
      </w:r>
      <w:r w:rsidRPr="008F7787">
        <w:rPr>
          <w:rFonts w:hint="eastAsia"/>
        </w:rPr>
        <w:t>3</w:t>
      </w:r>
      <w:r w:rsidRPr="008F7787">
        <w:rPr>
          <w:rFonts w:hint="eastAsia"/>
        </w:rPr>
        <w:t>例（</w:t>
      </w:r>
      <w:r w:rsidRPr="008F7787">
        <w:rPr>
          <w:rFonts w:hint="eastAsia"/>
        </w:rPr>
        <w:t>1%</w:t>
      </w:r>
      <w:r w:rsidRPr="008F7787">
        <w:rPr>
          <w:rFonts w:hint="eastAsia"/>
        </w:rPr>
        <w:t>）、</w:t>
      </w:r>
      <w:r w:rsidRPr="008F7787">
        <w:rPr>
          <w:rFonts w:hint="eastAsia"/>
        </w:rPr>
        <w:t>MEK1</w:t>
      </w:r>
      <w:r w:rsidRPr="008F7787">
        <w:rPr>
          <w:rFonts w:hint="eastAsia"/>
        </w:rPr>
        <w:t>突变</w:t>
      </w:r>
      <w:r w:rsidRPr="008F7787">
        <w:rPr>
          <w:rFonts w:hint="eastAsia"/>
        </w:rPr>
        <w:t>2</w:t>
      </w:r>
      <w:r w:rsidRPr="008F7787">
        <w:rPr>
          <w:rFonts w:hint="eastAsia"/>
        </w:rPr>
        <w:t>例（</w:t>
      </w:r>
      <w:r w:rsidRPr="008F7787">
        <w:rPr>
          <w:rFonts w:hint="eastAsia"/>
        </w:rPr>
        <w:t>0.4%</w:t>
      </w:r>
      <w:r w:rsidRPr="008F7787">
        <w:rPr>
          <w:rFonts w:hint="eastAsia"/>
        </w:rPr>
        <w:t>）、</w:t>
      </w:r>
      <w:r w:rsidRPr="008F7787">
        <w:rPr>
          <w:rFonts w:hint="eastAsia"/>
        </w:rPr>
        <w:t xml:space="preserve">NRAS </w:t>
      </w:r>
      <w:r w:rsidRPr="008F7787">
        <w:rPr>
          <w:rFonts w:hint="eastAsia"/>
        </w:rPr>
        <w:t>突变</w:t>
      </w:r>
      <w:r w:rsidRPr="008F7787">
        <w:rPr>
          <w:rFonts w:hint="eastAsia"/>
        </w:rPr>
        <w:t>1</w:t>
      </w:r>
      <w:r w:rsidRPr="008F7787">
        <w:rPr>
          <w:rFonts w:hint="eastAsia"/>
        </w:rPr>
        <w:t>例（</w:t>
      </w:r>
      <w:r w:rsidRPr="008F7787">
        <w:rPr>
          <w:rFonts w:hint="eastAsia"/>
        </w:rPr>
        <w:t>0.2%</w:t>
      </w:r>
      <w:r w:rsidRPr="008F7787">
        <w:rPr>
          <w:rFonts w:hint="eastAsia"/>
        </w:rPr>
        <w:t>）、</w:t>
      </w:r>
      <w:r w:rsidRPr="008F7787">
        <w:rPr>
          <w:rFonts w:hint="eastAsia"/>
        </w:rPr>
        <w:t xml:space="preserve">AKT1 </w:t>
      </w:r>
      <w:r w:rsidRPr="008F7787">
        <w:rPr>
          <w:rFonts w:hint="eastAsia"/>
        </w:rPr>
        <w:t>突变</w:t>
      </w:r>
      <w:r w:rsidRPr="008F7787">
        <w:rPr>
          <w:rFonts w:hint="eastAsia"/>
        </w:rPr>
        <w:t>0</w:t>
      </w:r>
      <w:r w:rsidRPr="008F7787">
        <w:rPr>
          <w:rFonts w:hint="eastAsia"/>
        </w:rPr>
        <w:t>例。</w:t>
      </w:r>
      <w:r w:rsidRPr="008F7787">
        <w:rPr>
          <w:rFonts w:hint="eastAsia"/>
        </w:rPr>
        <w:t>54%</w:t>
      </w:r>
      <w:r w:rsidRPr="008F7787">
        <w:rPr>
          <w:rFonts w:hint="eastAsia"/>
        </w:rPr>
        <w:t>的肿瘤样本只存在一种驱动基因突变，</w:t>
      </w:r>
      <w:r w:rsidRPr="008F7787">
        <w:rPr>
          <w:rFonts w:hint="eastAsia"/>
        </w:rPr>
        <w:t>95%</w:t>
      </w:r>
      <w:r w:rsidRPr="008F7787">
        <w:rPr>
          <w:rFonts w:hint="eastAsia"/>
        </w:rPr>
        <w:t>的分子突变相互排斥。</w:t>
      </w:r>
    </w:p>
    <w:sectPr w:rsidR="008E16AB" w:rsidRPr="008F7787" w:rsidSect="0082166D">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ADD" w:rsidRDefault="00986ADD">
      <w:r>
        <w:separator/>
      </w:r>
    </w:p>
  </w:endnote>
  <w:endnote w:type="continuationSeparator" w:id="0">
    <w:p w:rsidR="00986ADD" w:rsidRDefault="00986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ADD" w:rsidRDefault="00986ADD">
      <w:r>
        <w:separator/>
      </w:r>
    </w:p>
  </w:footnote>
  <w:footnote w:type="continuationSeparator" w:id="0">
    <w:p w:rsidR="00986ADD" w:rsidRDefault="00986A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6AB"/>
    <w:rsid w:val="0000041B"/>
    <w:rsid w:val="000120A1"/>
    <w:rsid w:val="00015B8D"/>
    <w:rsid w:val="00032FE1"/>
    <w:rsid w:val="00047C29"/>
    <w:rsid w:val="00047F58"/>
    <w:rsid w:val="00065391"/>
    <w:rsid w:val="00070E01"/>
    <w:rsid w:val="0008320E"/>
    <w:rsid w:val="000A3AA3"/>
    <w:rsid w:val="000C200E"/>
    <w:rsid w:val="000C311D"/>
    <w:rsid w:val="000D0B8F"/>
    <w:rsid w:val="000D1570"/>
    <w:rsid w:val="000F37AE"/>
    <w:rsid w:val="00105C6F"/>
    <w:rsid w:val="00117D5C"/>
    <w:rsid w:val="00146943"/>
    <w:rsid w:val="00150566"/>
    <w:rsid w:val="00160ADA"/>
    <w:rsid w:val="001832BB"/>
    <w:rsid w:val="00186C7F"/>
    <w:rsid w:val="001A589D"/>
    <w:rsid w:val="001B4AE0"/>
    <w:rsid w:val="001B517A"/>
    <w:rsid w:val="00200EDE"/>
    <w:rsid w:val="00205AB4"/>
    <w:rsid w:val="0021020C"/>
    <w:rsid w:val="00216C9D"/>
    <w:rsid w:val="00232D45"/>
    <w:rsid w:val="00240A77"/>
    <w:rsid w:val="00257E36"/>
    <w:rsid w:val="00257F18"/>
    <w:rsid w:val="002669F4"/>
    <w:rsid w:val="00276606"/>
    <w:rsid w:val="002A44E6"/>
    <w:rsid w:val="002C1055"/>
    <w:rsid w:val="002C16D2"/>
    <w:rsid w:val="002D667F"/>
    <w:rsid w:val="002E6CB9"/>
    <w:rsid w:val="002F1A82"/>
    <w:rsid w:val="003028CD"/>
    <w:rsid w:val="0030300E"/>
    <w:rsid w:val="003267D2"/>
    <w:rsid w:val="003409EE"/>
    <w:rsid w:val="00340CEB"/>
    <w:rsid w:val="00350394"/>
    <w:rsid w:val="003541C9"/>
    <w:rsid w:val="00355616"/>
    <w:rsid w:val="00361747"/>
    <w:rsid w:val="00383A3F"/>
    <w:rsid w:val="003A5F16"/>
    <w:rsid w:val="003B0C0B"/>
    <w:rsid w:val="003C5398"/>
    <w:rsid w:val="003D4D3B"/>
    <w:rsid w:val="00411404"/>
    <w:rsid w:val="004451C5"/>
    <w:rsid w:val="00447DD6"/>
    <w:rsid w:val="004703BF"/>
    <w:rsid w:val="00471892"/>
    <w:rsid w:val="00473B93"/>
    <w:rsid w:val="00497649"/>
    <w:rsid w:val="004E3667"/>
    <w:rsid w:val="0050318C"/>
    <w:rsid w:val="005243E9"/>
    <w:rsid w:val="00542B25"/>
    <w:rsid w:val="005465CB"/>
    <w:rsid w:val="00553526"/>
    <w:rsid w:val="00570BD1"/>
    <w:rsid w:val="00597384"/>
    <w:rsid w:val="005A0C39"/>
    <w:rsid w:val="005C7278"/>
    <w:rsid w:val="005C7EE2"/>
    <w:rsid w:val="005D07C5"/>
    <w:rsid w:val="005D2C2E"/>
    <w:rsid w:val="005D7088"/>
    <w:rsid w:val="006410E5"/>
    <w:rsid w:val="0067283A"/>
    <w:rsid w:val="006747C7"/>
    <w:rsid w:val="006751AF"/>
    <w:rsid w:val="00676C70"/>
    <w:rsid w:val="00687250"/>
    <w:rsid w:val="00691111"/>
    <w:rsid w:val="006A2E81"/>
    <w:rsid w:val="006A720A"/>
    <w:rsid w:val="006D38CB"/>
    <w:rsid w:val="006D7CCB"/>
    <w:rsid w:val="00706F5C"/>
    <w:rsid w:val="00716D37"/>
    <w:rsid w:val="007170F1"/>
    <w:rsid w:val="00747F9B"/>
    <w:rsid w:val="00754BA3"/>
    <w:rsid w:val="00766EA1"/>
    <w:rsid w:val="00774910"/>
    <w:rsid w:val="00777CCB"/>
    <w:rsid w:val="007932DC"/>
    <w:rsid w:val="007A0A04"/>
    <w:rsid w:val="007A2FB2"/>
    <w:rsid w:val="007B41CD"/>
    <w:rsid w:val="007B451A"/>
    <w:rsid w:val="007C4B45"/>
    <w:rsid w:val="007E481C"/>
    <w:rsid w:val="007E5605"/>
    <w:rsid w:val="007F2345"/>
    <w:rsid w:val="00804896"/>
    <w:rsid w:val="00806679"/>
    <w:rsid w:val="00807FEA"/>
    <w:rsid w:val="0081156C"/>
    <w:rsid w:val="00811C5A"/>
    <w:rsid w:val="008155DF"/>
    <w:rsid w:val="0082166D"/>
    <w:rsid w:val="00896C08"/>
    <w:rsid w:val="008A6E3E"/>
    <w:rsid w:val="008B3DC3"/>
    <w:rsid w:val="008D0385"/>
    <w:rsid w:val="008E16AB"/>
    <w:rsid w:val="008E1C59"/>
    <w:rsid w:val="008F3237"/>
    <w:rsid w:val="008F7787"/>
    <w:rsid w:val="00904FDD"/>
    <w:rsid w:val="00913A6D"/>
    <w:rsid w:val="00915F0C"/>
    <w:rsid w:val="00921BA5"/>
    <w:rsid w:val="00922992"/>
    <w:rsid w:val="00951A0A"/>
    <w:rsid w:val="00975D1B"/>
    <w:rsid w:val="009859F6"/>
    <w:rsid w:val="00986ADD"/>
    <w:rsid w:val="009A09B5"/>
    <w:rsid w:val="009C00AD"/>
    <w:rsid w:val="009D15E5"/>
    <w:rsid w:val="009D437A"/>
    <w:rsid w:val="009D4E74"/>
    <w:rsid w:val="009E4DFC"/>
    <w:rsid w:val="009F507C"/>
    <w:rsid w:val="00A23E15"/>
    <w:rsid w:val="00A33C11"/>
    <w:rsid w:val="00A601CE"/>
    <w:rsid w:val="00A862E8"/>
    <w:rsid w:val="00AB255A"/>
    <w:rsid w:val="00AE78D7"/>
    <w:rsid w:val="00B0114F"/>
    <w:rsid w:val="00B02E5F"/>
    <w:rsid w:val="00B07B49"/>
    <w:rsid w:val="00B13B54"/>
    <w:rsid w:val="00B34AE6"/>
    <w:rsid w:val="00B6271C"/>
    <w:rsid w:val="00B6534D"/>
    <w:rsid w:val="00B67188"/>
    <w:rsid w:val="00B84BAB"/>
    <w:rsid w:val="00B87B8F"/>
    <w:rsid w:val="00B92210"/>
    <w:rsid w:val="00B9579C"/>
    <w:rsid w:val="00BC53B4"/>
    <w:rsid w:val="00BC59CE"/>
    <w:rsid w:val="00BD0779"/>
    <w:rsid w:val="00BD2852"/>
    <w:rsid w:val="00BE647F"/>
    <w:rsid w:val="00BE721E"/>
    <w:rsid w:val="00C01E09"/>
    <w:rsid w:val="00C237D7"/>
    <w:rsid w:val="00C32056"/>
    <w:rsid w:val="00C608E2"/>
    <w:rsid w:val="00C6164D"/>
    <w:rsid w:val="00C82E20"/>
    <w:rsid w:val="00C878F9"/>
    <w:rsid w:val="00C92E03"/>
    <w:rsid w:val="00CA226A"/>
    <w:rsid w:val="00CB60B4"/>
    <w:rsid w:val="00CC5120"/>
    <w:rsid w:val="00CD0A12"/>
    <w:rsid w:val="00CD25B9"/>
    <w:rsid w:val="00CD60A0"/>
    <w:rsid w:val="00CE13D4"/>
    <w:rsid w:val="00D01D56"/>
    <w:rsid w:val="00D01E71"/>
    <w:rsid w:val="00D04694"/>
    <w:rsid w:val="00D33FD4"/>
    <w:rsid w:val="00D420A2"/>
    <w:rsid w:val="00D46BAD"/>
    <w:rsid w:val="00D51AD3"/>
    <w:rsid w:val="00D6111E"/>
    <w:rsid w:val="00D62AF2"/>
    <w:rsid w:val="00DA223E"/>
    <w:rsid w:val="00DB420F"/>
    <w:rsid w:val="00DC7F9C"/>
    <w:rsid w:val="00DF3B87"/>
    <w:rsid w:val="00DF4FCE"/>
    <w:rsid w:val="00DF5DE4"/>
    <w:rsid w:val="00E07A23"/>
    <w:rsid w:val="00E134F9"/>
    <w:rsid w:val="00E229AB"/>
    <w:rsid w:val="00E340C2"/>
    <w:rsid w:val="00E6714E"/>
    <w:rsid w:val="00E82C51"/>
    <w:rsid w:val="00E82CBF"/>
    <w:rsid w:val="00E952F9"/>
    <w:rsid w:val="00E978DE"/>
    <w:rsid w:val="00EB2448"/>
    <w:rsid w:val="00EC2E42"/>
    <w:rsid w:val="00EC6E28"/>
    <w:rsid w:val="00ED77E6"/>
    <w:rsid w:val="00EF640C"/>
    <w:rsid w:val="00F141FC"/>
    <w:rsid w:val="00F62F9E"/>
    <w:rsid w:val="00F73468"/>
    <w:rsid w:val="00FA6F12"/>
    <w:rsid w:val="00FB1D3D"/>
    <w:rsid w:val="00FB4CED"/>
    <w:rsid w:val="00FC2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rsid w:val="008E16AB"/>
    <w:pPr>
      <w:widowControl/>
      <w:spacing w:before="374" w:after="187" w:line="561" w:lineRule="atLeast"/>
      <w:jc w:val="center"/>
      <w:outlineLvl w:val="0"/>
    </w:pPr>
    <w:rPr>
      <w:rFonts w:ascii="宋体" w:hAnsi="宋体" w:cs="宋体"/>
      <w:b/>
      <w:bCs/>
      <w:color w:val="333333"/>
      <w:kern w:val="36"/>
      <w:sz w:val="37"/>
      <w:szCs w:val="3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我的样式"/>
    <w:basedOn w:val="a"/>
    <w:next w:val="a"/>
    <w:rsid w:val="002E6CB9"/>
    <w:pPr>
      <w:spacing w:line="360" w:lineRule="auto"/>
      <w:ind w:firstLineChars="400" w:firstLine="840"/>
    </w:pPr>
    <w:rPr>
      <w:rFonts w:ascii="Calibri" w:eastAsia="黑体" w:hAnsi="Calibri"/>
      <w:b/>
      <w:color w:val="FF0000"/>
    </w:rPr>
  </w:style>
  <w:style w:type="paragraph" w:customStyle="1" w:styleId="myyangshi">
    <w:name w:val="myyangshi"/>
    <w:basedOn w:val="a"/>
    <w:next w:val="a"/>
    <w:rsid w:val="002E6CB9"/>
    <w:pPr>
      <w:spacing w:beforeLines="100" w:before="240" w:line="480" w:lineRule="auto"/>
      <w:jc w:val="center"/>
      <w:outlineLvl w:val="0"/>
    </w:pPr>
    <w:rPr>
      <w:rFonts w:ascii="黑体" w:eastAsia="黑体"/>
      <w:b/>
      <w:sz w:val="32"/>
      <w:szCs w:val="32"/>
    </w:rPr>
  </w:style>
  <w:style w:type="paragraph" w:styleId="a4">
    <w:name w:val="header"/>
    <w:basedOn w:val="a"/>
    <w:rsid w:val="008E16AB"/>
    <w:pPr>
      <w:pBdr>
        <w:bottom w:val="single" w:sz="6" w:space="1" w:color="auto"/>
      </w:pBdr>
      <w:tabs>
        <w:tab w:val="center" w:pos="4153"/>
        <w:tab w:val="right" w:pos="8306"/>
      </w:tabs>
      <w:snapToGrid w:val="0"/>
      <w:jc w:val="center"/>
    </w:pPr>
    <w:rPr>
      <w:sz w:val="18"/>
      <w:szCs w:val="18"/>
    </w:rPr>
  </w:style>
  <w:style w:type="paragraph" w:styleId="a5">
    <w:name w:val="footer"/>
    <w:basedOn w:val="a"/>
    <w:rsid w:val="008E16AB"/>
    <w:pPr>
      <w:tabs>
        <w:tab w:val="center" w:pos="4153"/>
        <w:tab w:val="right" w:pos="8306"/>
      </w:tabs>
      <w:snapToGrid w:val="0"/>
      <w:jc w:val="left"/>
    </w:pPr>
    <w:rPr>
      <w:sz w:val="18"/>
      <w:szCs w:val="18"/>
    </w:rPr>
  </w:style>
  <w:style w:type="character" w:styleId="a6">
    <w:name w:val="Hyperlink"/>
    <w:basedOn w:val="a0"/>
    <w:rsid w:val="008E16AB"/>
    <w:rPr>
      <w:strike w:val="0"/>
      <w:dstrike w:val="0"/>
      <w:color w:val="336699"/>
      <w:u w:val="none"/>
      <w:effect w:val="none"/>
    </w:rPr>
  </w:style>
  <w:style w:type="paragraph" w:styleId="a7">
    <w:name w:val="Normal (Web)"/>
    <w:basedOn w:val="a"/>
    <w:rsid w:val="008E16AB"/>
    <w:pPr>
      <w:widowControl/>
      <w:spacing w:before="100" w:beforeAutospacing="1" w:after="100" w:afterAutospacing="1"/>
      <w:jc w:val="left"/>
    </w:pPr>
    <w:rPr>
      <w:rFonts w:ascii="宋体" w:hAnsi="宋体" w:cs="宋体"/>
      <w:kern w:val="0"/>
      <w:sz w:val="24"/>
    </w:rPr>
  </w:style>
  <w:style w:type="character" w:styleId="a8">
    <w:name w:val="line number"/>
    <w:basedOn w:val="a0"/>
    <w:rsid w:val="00CB60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rsid w:val="008E16AB"/>
    <w:pPr>
      <w:widowControl/>
      <w:spacing w:before="374" w:after="187" w:line="561" w:lineRule="atLeast"/>
      <w:jc w:val="center"/>
      <w:outlineLvl w:val="0"/>
    </w:pPr>
    <w:rPr>
      <w:rFonts w:ascii="宋体" w:hAnsi="宋体" w:cs="宋体"/>
      <w:b/>
      <w:bCs/>
      <w:color w:val="333333"/>
      <w:kern w:val="36"/>
      <w:sz w:val="37"/>
      <w:szCs w:val="3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我的样式"/>
    <w:basedOn w:val="a"/>
    <w:next w:val="a"/>
    <w:rsid w:val="002E6CB9"/>
    <w:pPr>
      <w:spacing w:line="360" w:lineRule="auto"/>
      <w:ind w:firstLineChars="400" w:firstLine="840"/>
    </w:pPr>
    <w:rPr>
      <w:rFonts w:ascii="Calibri" w:eastAsia="黑体" w:hAnsi="Calibri"/>
      <w:b/>
      <w:color w:val="FF0000"/>
    </w:rPr>
  </w:style>
  <w:style w:type="paragraph" w:customStyle="1" w:styleId="myyangshi">
    <w:name w:val="myyangshi"/>
    <w:basedOn w:val="a"/>
    <w:next w:val="a"/>
    <w:rsid w:val="002E6CB9"/>
    <w:pPr>
      <w:spacing w:beforeLines="100" w:before="240" w:line="480" w:lineRule="auto"/>
      <w:jc w:val="center"/>
      <w:outlineLvl w:val="0"/>
    </w:pPr>
    <w:rPr>
      <w:rFonts w:ascii="黑体" w:eastAsia="黑体"/>
      <w:b/>
      <w:sz w:val="32"/>
      <w:szCs w:val="32"/>
    </w:rPr>
  </w:style>
  <w:style w:type="paragraph" w:styleId="a4">
    <w:name w:val="header"/>
    <w:basedOn w:val="a"/>
    <w:rsid w:val="008E16AB"/>
    <w:pPr>
      <w:pBdr>
        <w:bottom w:val="single" w:sz="6" w:space="1" w:color="auto"/>
      </w:pBdr>
      <w:tabs>
        <w:tab w:val="center" w:pos="4153"/>
        <w:tab w:val="right" w:pos="8306"/>
      </w:tabs>
      <w:snapToGrid w:val="0"/>
      <w:jc w:val="center"/>
    </w:pPr>
    <w:rPr>
      <w:sz w:val="18"/>
      <w:szCs w:val="18"/>
    </w:rPr>
  </w:style>
  <w:style w:type="paragraph" w:styleId="a5">
    <w:name w:val="footer"/>
    <w:basedOn w:val="a"/>
    <w:rsid w:val="008E16AB"/>
    <w:pPr>
      <w:tabs>
        <w:tab w:val="center" w:pos="4153"/>
        <w:tab w:val="right" w:pos="8306"/>
      </w:tabs>
      <w:snapToGrid w:val="0"/>
      <w:jc w:val="left"/>
    </w:pPr>
    <w:rPr>
      <w:sz w:val="18"/>
      <w:szCs w:val="18"/>
    </w:rPr>
  </w:style>
  <w:style w:type="character" w:styleId="a6">
    <w:name w:val="Hyperlink"/>
    <w:basedOn w:val="a0"/>
    <w:rsid w:val="008E16AB"/>
    <w:rPr>
      <w:strike w:val="0"/>
      <w:dstrike w:val="0"/>
      <w:color w:val="336699"/>
      <w:u w:val="none"/>
      <w:effect w:val="none"/>
    </w:rPr>
  </w:style>
  <w:style w:type="paragraph" w:styleId="a7">
    <w:name w:val="Normal (Web)"/>
    <w:basedOn w:val="a"/>
    <w:rsid w:val="008E16AB"/>
    <w:pPr>
      <w:widowControl/>
      <w:spacing w:before="100" w:beforeAutospacing="1" w:after="100" w:afterAutospacing="1"/>
      <w:jc w:val="left"/>
    </w:pPr>
    <w:rPr>
      <w:rFonts w:ascii="宋体" w:hAnsi="宋体" w:cs="宋体"/>
      <w:kern w:val="0"/>
      <w:sz w:val="24"/>
    </w:rPr>
  </w:style>
  <w:style w:type="character" w:styleId="a8">
    <w:name w:val="line number"/>
    <w:basedOn w:val="a0"/>
    <w:rsid w:val="00CB6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8900">
      <w:bodyDiv w:val="1"/>
      <w:marLeft w:val="0"/>
      <w:marRight w:val="0"/>
      <w:marTop w:val="0"/>
      <w:marBottom w:val="0"/>
      <w:divBdr>
        <w:top w:val="none" w:sz="0" w:space="0" w:color="auto"/>
        <w:left w:val="none" w:sz="0" w:space="0" w:color="auto"/>
        <w:bottom w:val="none" w:sz="0" w:space="0" w:color="auto"/>
        <w:right w:val="none" w:sz="0" w:space="0" w:color="auto"/>
      </w:divBdr>
      <w:divsChild>
        <w:div w:id="385883632">
          <w:marLeft w:val="0"/>
          <w:marRight w:val="0"/>
          <w:marTop w:val="0"/>
          <w:marBottom w:val="0"/>
          <w:divBdr>
            <w:top w:val="none" w:sz="0" w:space="0" w:color="auto"/>
            <w:left w:val="none" w:sz="0" w:space="0" w:color="auto"/>
            <w:bottom w:val="none" w:sz="0" w:space="0" w:color="auto"/>
            <w:right w:val="none" w:sz="0" w:space="0" w:color="auto"/>
          </w:divBdr>
          <w:divsChild>
            <w:div w:id="122880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792547">
      <w:bodyDiv w:val="1"/>
      <w:marLeft w:val="0"/>
      <w:marRight w:val="0"/>
      <w:marTop w:val="0"/>
      <w:marBottom w:val="0"/>
      <w:divBdr>
        <w:top w:val="none" w:sz="0" w:space="0" w:color="auto"/>
        <w:left w:val="none" w:sz="0" w:space="0" w:color="auto"/>
        <w:bottom w:val="none" w:sz="0" w:space="0" w:color="auto"/>
        <w:right w:val="none" w:sz="0" w:space="0" w:color="auto"/>
      </w:divBdr>
      <w:divsChild>
        <w:div w:id="144056630">
          <w:marLeft w:val="0"/>
          <w:marRight w:val="0"/>
          <w:marTop w:val="0"/>
          <w:marBottom w:val="0"/>
          <w:divBdr>
            <w:top w:val="none" w:sz="0" w:space="0" w:color="auto"/>
            <w:left w:val="none" w:sz="0" w:space="0" w:color="auto"/>
            <w:bottom w:val="none" w:sz="0" w:space="0" w:color="auto"/>
            <w:right w:val="none" w:sz="0" w:space="0" w:color="auto"/>
          </w:divBdr>
          <w:divsChild>
            <w:div w:id="400249085">
              <w:marLeft w:val="0"/>
              <w:marRight w:val="0"/>
              <w:marTop w:val="0"/>
              <w:marBottom w:val="0"/>
              <w:divBdr>
                <w:top w:val="none" w:sz="0" w:space="0" w:color="auto"/>
                <w:left w:val="none" w:sz="0" w:space="0" w:color="auto"/>
                <w:bottom w:val="none" w:sz="0" w:space="0" w:color="auto"/>
                <w:right w:val="none" w:sz="0" w:space="0" w:color="auto"/>
              </w:divBdr>
              <w:divsChild>
                <w:div w:id="1336106731">
                  <w:marLeft w:val="0"/>
                  <w:marRight w:val="0"/>
                  <w:marTop w:val="187"/>
                  <w:marBottom w:val="187"/>
                  <w:divBdr>
                    <w:top w:val="none" w:sz="0" w:space="0" w:color="auto"/>
                    <w:left w:val="none" w:sz="0" w:space="0" w:color="auto"/>
                    <w:bottom w:val="none" w:sz="0" w:space="0" w:color="auto"/>
                    <w:right w:val="none" w:sz="0" w:space="0" w:color="auto"/>
                  </w:divBdr>
                </w:div>
                <w:div w:id="20073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187</Words>
  <Characters>1071</Characters>
  <Application>Microsoft Office Word</Application>
  <DocSecurity>0</DocSecurity>
  <Lines>8</Lines>
  <Paragraphs>2</Paragraphs>
  <ScaleCrop>false</ScaleCrop>
  <Company>The Shaolin Temple</Company>
  <LinksUpToDate>false</LinksUpToDate>
  <CharactersWithSpaces>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shaoqian</dc:creator>
  <cp:keywords/>
  <cp:lastModifiedBy>shaoqian</cp:lastModifiedBy>
  <cp:revision>4</cp:revision>
  <dcterms:created xsi:type="dcterms:W3CDTF">2012-04-28T15:53:00Z</dcterms:created>
  <dcterms:modified xsi:type="dcterms:W3CDTF">2012-04-28T15:53:00Z</dcterms:modified>
</cp:coreProperties>
</file>