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32E" w:rsidRPr="0027632E" w:rsidRDefault="0027632E" w:rsidP="0027632E">
      <w:pPr>
        <w:widowControl/>
        <w:spacing w:line="432" w:lineRule="atLeast"/>
        <w:ind w:firstLineChars="200" w:firstLine="420"/>
        <w:jc w:val="left"/>
        <w:rPr>
          <w:rFonts w:ascii="Arial" w:eastAsia="宋体" w:hAnsi="Arial" w:cs="Arial"/>
          <w:color w:val="000000"/>
          <w:kern w:val="0"/>
          <w:szCs w:val="21"/>
        </w:rPr>
      </w:pPr>
      <w:bookmarkStart w:id="0" w:name="_GoBack"/>
      <w:bookmarkEnd w:id="0"/>
      <w:r w:rsidRPr="0027632E">
        <w:rPr>
          <w:rFonts w:ascii="Arial" w:eastAsia="宋体" w:hAnsi="Arial" w:cs="Arial"/>
          <w:color w:val="000000"/>
          <w:kern w:val="0"/>
          <w:szCs w:val="21"/>
        </w:rPr>
        <w:t>笔者的研究小组分析了肺的发育与肺癌、大肠的发育和大肠癌发生之间的联系。结果发现</w:t>
      </w:r>
      <w:r w:rsidRPr="00FF56D0">
        <w:rPr>
          <w:rFonts w:ascii="Arial" w:eastAsia="宋体" w:hAnsi="Arial" w:cs="Arial"/>
          <w:color w:val="000000"/>
          <w:kern w:val="0"/>
          <w:szCs w:val="21"/>
          <w:highlight w:val="magenta"/>
        </w:rPr>
        <w:t>,</w:t>
      </w:r>
      <w:r w:rsidRPr="0027632E">
        <w:rPr>
          <w:rFonts w:ascii="Arial" w:eastAsia="宋体" w:hAnsi="Arial" w:cs="Arial"/>
          <w:color w:val="000000"/>
          <w:kern w:val="0"/>
          <w:szCs w:val="21"/>
        </w:rPr>
        <w:t>一些发育相关基因对肺腺癌的预测预后很重要。这些发育相关基因表达水平与乳腺患者预后也显著相关。</w:t>
      </w:r>
    </w:p>
    <w:p w:rsidR="0027632E" w:rsidRPr="0027632E" w:rsidRDefault="0027632E" w:rsidP="0027632E">
      <w:pPr>
        <w:widowControl/>
        <w:spacing w:line="432" w:lineRule="atLeast"/>
        <w:ind w:firstLineChars="200" w:firstLine="420"/>
        <w:jc w:val="left"/>
        <w:rPr>
          <w:rFonts w:ascii="Arial" w:eastAsia="宋体" w:hAnsi="Arial" w:cs="Arial"/>
          <w:color w:val="000000"/>
          <w:kern w:val="0"/>
          <w:szCs w:val="21"/>
        </w:rPr>
      </w:pPr>
      <w:r w:rsidRPr="0027632E">
        <w:rPr>
          <w:rFonts w:ascii="Arial" w:eastAsia="宋体" w:hAnsi="Arial" w:cs="Arial"/>
          <w:color w:val="000000"/>
          <w:kern w:val="0"/>
          <w:szCs w:val="21"/>
        </w:rPr>
        <w:t>发育和肿瘤的研究提示</w:t>
      </w:r>
      <w:r w:rsidRPr="00FF56D0">
        <w:rPr>
          <w:rFonts w:ascii="Arial" w:eastAsia="宋体" w:hAnsi="Arial" w:cs="Arial"/>
          <w:color w:val="000000"/>
          <w:kern w:val="0"/>
          <w:szCs w:val="21"/>
          <w:highlight w:val="magenta"/>
        </w:rPr>
        <w:t>,</w:t>
      </w:r>
      <w:r w:rsidRPr="0027632E">
        <w:rPr>
          <w:rFonts w:ascii="Arial" w:eastAsia="宋体" w:hAnsi="Arial" w:cs="Arial"/>
          <w:color w:val="000000"/>
          <w:kern w:val="0"/>
          <w:szCs w:val="21"/>
        </w:rPr>
        <w:t>胚胎发育相关基因可预测多个部位肿瘤的预后；而肿瘤发生、发展不仅取决于部位</w:t>
      </w:r>
      <w:r w:rsidRPr="00FF56D0">
        <w:rPr>
          <w:rFonts w:ascii="Arial" w:eastAsia="宋体" w:hAnsi="Arial" w:cs="Arial"/>
          <w:color w:val="000000"/>
          <w:kern w:val="0"/>
          <w:szCs w:val="21"/>
          <w:highlight w:val="magenta"/>
        </w:rPr>
        <w:t>,</w:t>
      </w:r>
      <w:r w:rsidRPr="0027632E">
        <w:rPr>
          <w:rFonts w:ascii="Arial" w:eastAsia="宋体" w:hAnsi="Arial" w:cs="Arial"/>
          <w:color w:val="000000"/>
          <w:kern w:val="0"/>
          <w:szCs w:val="21"/>
        </w:rPr>
        <w:t>还可能取决于其发育的记忆基因。这也是为何一些靶向药物不止会对一种肿瘤起作用</w:t>
      </w:r>
      <w:r w:rsidRPr="00FF56D0">
        <w:rPr>
          <w:rFonts w:ascii="Arial" w:eastAsia="宋体" w:hAnsi="Arial" w:cs="Arial"/>
          <w:color w:val="000000"/>
          <w:kern w:val="0"/>
          <w:szCs w:val="21"/>
          <w:highlight w:val="magenta"/>
        </w:rPr>
        <w:t>,</w:t>
      </w:r>
      <w:r w:rsidRPr="0027632E">
        <w:rPr>
          <w:rFonts w:ascii="Arial" w:eastAsia="宋体" w:hAnsi="Arial" w:cs="Arial"/>
          <w:color w:val="000000"/>
          <w:kern w:val="0"/>
          <w:szCs w:val="21"/>
        </w:rPr>
        <w:t>其不止靶向一个部位的原因之一。</w:t>
      </w:r>
    </w:p>
    <w:p w:rsidR="007905CC" w:rsidRPr="0027632E" w:rsidRDefault="0027632E" w:rsidP="0027632E">
      <w:pPr>
        <w:widowControl/>
        <w:spacing w:line="432" w:lineRule="atLeast"/>
        <w:ind w:firstLineChars="200" w:firstLine="420"/>
        <w:jc w:val="left"/>
      </w:pPr>
      <w:r w:rsidRPr="0027632E">
        <w:rPr>
          <w:rFonts w:ascii="Arial" w:eastAsia="宋体" w:hAnsi="Arial" w:cs="Arial"/>
          <w:color w:val="000000"/>
          <w:kern w:val="0"/>
          <w:szCs w:val="21"/>
        </w:rPr>
        <w:t>由此可见</w:t>
      </w:r>
      <w:r w:rsidRPr="00FF56D0">
        <w:rPr>
          <w:rFonts w:ascii="Arial" w:eastAsia="宋体" w:hAnsi="Arial" w:cs="Arial"/>
          <w:color w:val="000000"/>
          <w:kern w:val="0"/>
          <w:szCs w:val="21"/>
          <w:highlight w:val="magenta"/>
        </w:rPr>
        <w:t>,</w:t>
      </w:r>
      <w:r w:rsidRPr="0027632E">
        <w:rPr>
          <w:rFonts w:ascii="Arial" w:eastAsia="宋体" w:hAnsi="Arial" w:cs="Arial"/>
          <w:color w:val="000000"/>
          <w:kern w:val="0"/>
          <w:szCs w:val="21"/>
        </w:rPr>
        <w:t>一个基因参与多种肿瘤的发生</w:t>
      </w:r>
      <w:r w:rsidRPr="00FF56D0">
        <w:rPr>
          <w:rFonts w:ascii="Arial" w:eastAsia="宋体" w:hAnsi="Arial" w:cs="Arial"/>
          <w:color w:val="000000"/>
          <w:kern w:val="0"/>
          <w:szCs w:val="21"/>
          <w:highlight w:val="magenta"/>
        </w:rPr>
        <w:t>,</w:t>
      </w:r>
      <w:r w:rsidRPr="0027632E">
        <w:rPr>
          <w:rFonts w:ascii="Arial" w:eastAsia="宋体" w:hAnsi="Arial" w:cs="Arial"/>
          <w:color w:val="000000"/>
          <w:kern w:val="0"/>
          <w:szCs w:val="21"/>
        </w:rPr>
        <w:t>任何一个基因都不是独立执行功能</w:t>
      </w:r>
      <w:r w:rsidRPr="00FF56D0">
        <w:rPr>
          <w:rFonts w:ascii="Arial" w:eastAsia="宋体" w:hAnsi="Arial" w:cs="Arial"/>
          <w:color w:val="000000"/>
          <w:kern w:val="0"/>
          <w:szCs w:val="21"/>
          <w:highlight w:val="magenta"/>
        </w:rPr>
        <w:t>,</w:t>
      </w:r>
      <w:r w:rsidRPr="0027632E">
        <w:rPr>
          <w:rFonts w:ascii="Arial" w:eastAsia="宋体" w:hAnsi="Arial" w:cs="Arial"/>
          <w:color w:val="000000"/>
          <w:kern w:val="0"/>
          <w:szCs w:val="21"/>
        </w:rPr>
        <w:t>而是作为细胞网络中的一个环节</w:t>
      </w:r>
      <w:r w:rsidRPr="00FF56D0">
        <w:rPr>
          <w:rFonts w:ascii="Arial" w:eastAsia="宋体" w:hAnsi="Arial" w:cs="Arial"/>
          <w:color w:val="000000"/>
          <w:kern w:val="0"/>
          <w:szCs w:val="21"/>
          <w:highlight w:val="magenta"/>
        </w:rPr>
        <w:t>,</w:t>
      </w:r>
      <w:r w:rsidRPr="0027632E">
        <w:rPr>
          <w:rFonts w:ascii="Arial" w:eastAsia="宋体" w:hAnsi="Arial" w:cs="Arial"/>
          <w:color w:val="000000"/>
          <w:kern w:val="0"/>
          <w:szCs w:val="21"/>
        </w:rPr>
        <w:t>与其他基因相互协调来完成一定的生物学过程。肿瘤分子网络的异常程度及复杂性决定了肿瘤的恶性表型和个体差异</w:t>
      </w:r>
      <w:r w:rsidRPr="00FF56D0">
        <w:rPr>
          <w:rFonts w:ascii="Arial" w:eastAsia="宋体" w:hAnsi="Arial" w:cs="Arial"/>
          <w:color w:val="000000"/>
          <w:kern w:val="0"/>
          <w:szCs w:val="21"/>
          <w:highlight w:val="magenta"/>
        </w:rPr>
        <w:t>,</w:t>
      </w:r>
      <w:r w:rsidRPr="0027632E">
        <w:rPr>
          <w:rFonts w:ascii="Arial" w:eastAsia="宋体" w:hAnsi="Arial" w:cs="Arial"/>
          <w:color w:val="000000"/>
          <w:kern w:val="0"/>
          <w:szCs w:val="21"/>
        </w:rPr>
        <w:t>也决定了患者的疗效和预后差异。</w:t>
      </w:r>
    </w:p>
    <w:sectPr w:rsidR="007905CC" w:rsidRPr="0027632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32E"/>
    <w:rsid w:val="0027632E"/>
    <w:rsid w:val="00383BBF"/>
    <w:rsid w:val="003E1683"/>
    <w:rsid w:val="00684577"/>
    <w:rsid w:val="007905CC"/>
    <w:rsid w:val="00FF56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4735482">
      <w:bodyDiv w:val="1"/>
      <w:marLeft w:val="0"/>
      <w:marRight w:val="0"/>
      <w:marTop w:val="0"/>
      <w:marBottom w:val="0"/>
      <w:divBdr>
        <w:top w:val="none" w:sz="0" w:space="0" w:color="auto"/>
        <w:left w:val="none" w:sz="0" w:space="0" w:color="auto"/>
        <w:bottom w:val="none" w:sz="0" w:space="0" w:color="auto"/>
        <w:right w:val="none" w:sz="0" w:space="0" w:color="auto"/>
      </w:divBdr>
      <w:divsChild>
        <w:div w:id="899360883">
          <w:marLeft w:val="0"/>
          <w:marRight w:val="0"/>
          <w:marTop w:val="0"/>
          <w:marBottom w:val="0"/>
          <w:divBdr>
            <w:top w:val="none" w:sz="0" w:space="0" w:color="auto"/>
            <w:left w:val="none" w:sz="0" w:space="0" w:color="auto"/>
            <w:bottom w:val="none" w:sz="0" w:space="0" w:color="auto"/>
            <w:right w:val="none" w:sz="0" w:space="0" w:color="auto"/>
          </w:divBdr>
          <w:divsChild>
            <w:div w:id="590814388">
              <w:marLeft w:val="0"/>
              <w:marRight w:val="0"/>
              <w:marTop w:val="0"/>
              <w:marBottom w:val="0"/>
              <w:divBdr>
                <w:top w:val="none" w:sz="0" w:space="0" w:color="auto"/>
                <w:left w:val="none" w:sz="0" w:space="0" w:color="auto"/>
                <w:bottom w:val="none" w:sz="0" w:space="0" w:color="auto"/>
                <w:right w:val="none" w:sz="0" w:space="0" w:color="auto"/>
              </w:divBdr>
              <w:divsChild>
                <w:div w:id="815343940">
                  <w:marLeft w:val="0"/>
                  <w:marRight w:val="0"/>
                  <w:marTop w:val="0"/>
                  <w:marBottom w:val="150"/>
                  <w:divBdr>
                    <w:top w:val="none" w:sz="0" w:space="0" w:color="auto"/>
                    <w:left w:val="none" w:sz="0" w:space="0" w:color="auto"/>
                    <w:bottom w:val="none" w:sz="0" w:space="0" w:color="auto"/>
                    <w:right w:val="none" w:sz="0" w:space="0" w:color="auto"/>
                  </w:divBdr>
                  <w:divsChild>
                    <w:div w:id="574125052">
                      <w:marLeft w:val="0"/>
                      <w:marRight w:val="0"/>
                      <w:marTop w:val="0"/>
                      <w:marBottom w:val="0"/>
                      <w:divBdr>
                        <w:top w:val="single" w:sz="6" w:space="0" w:color="9FC3EC"/>
                        <w:left w:val="single" w:sz="6" w:space="0" w:color="9FC3EC"/>
                        <w:bottom w:val="none" w:sz="0" w:space="0" w:color="auto"/>
                        <w:right w:val="single" w:sz="6" w:space="0" w:color="9FC3EC"/>
                      </w:divBdr>
                      <w:divsChild>
                        <w:div w:id="714546179">
                          <w:marLeft w:val="0"/>
                          <w:marRight w:val="0"/>
                          <w:marTop w:val="0"/>
                          <w:marBottom w:val="225"/>
                          <w:divBdr>
                            <w:top w:val="none" w:sz="0" w:space="0" w:color="auto"/>
                            <w:left w:val="none" w:sz="0" w:space="0" w:color="auto"/>
                            <w:bottom w:val="none" w:sz="0" w:space="0" w:color="auto"/>
                            <w:right w:val="none" w:sz="0" w:space="0" w:color="auto"/>
                          </w:divBdr>
                          <w:divsChild>
                            <w:div w:id="1068842109">
                              <w:marLeft w:val="0"/>
                              <w:marRight w:val="0"/>
                              <w:marTop w:val="0"/>
                              <w:marBottom w:val="0"/>
                              <w:divBdr>
                                <w:top w:val="none" w:sz="0" w:space="0" w:color="auto"/>
                                <w:left w:val="none" w:sz="0" w:space="0" w:color="auto"/>
                                <w:bottom w:val="none" w:sz="0" w:space="0" w:color="auto"/>
                                <w:right w:val="none" w:sz="0" w:space="0" w:color="auto"/>
                              </w:divBdr>
                            </w:div>
                            <w:div w:id="762532690">
                              <w:marLeft w:val="0"/>
                              <w:marRight w:val="0"/>
                              <w:marTop w:val="0"/>
                              <w:marBottom w:val="0"/>
                              <w:divBdr>
                                <w:top w:val="none" w:sz="0" w:space="0" w:color="auto"/>
                                <w:left w:val="none" w:sz="0" w:space="0" w:color="auto"/>
                                <w:bottom w:val="none" w:sz="0" w:space="0" w:color="auto"/>
                                <w:right w:val="none" w:sz="0" w:space="0" w:color="auto"/>
                              </w:divBdr>
                            </w:div>
                            <w:div w:id="144708795">
                              <w:marLeft w:val="0"/>
                              <w:marRight w:val="0"/>
                              <w:marTop w:val="0"/>
                              <w:marBottom w:val="0"/>
                              <w:divBdr>
                                <w:top w:val="none" w:sz="0" w:space="0" w:color="auto"/>
                                <w:left w:val="none" w:sz="0" w:space="0" w:color="auto"/>
                                <w:bottom w:val="none" w:sz="0" w:space="0" w:color="auto"/>
                                <w:right w:val="none" w:sz="0" w:space="0" w:color="auto"/>
                              </w:divBdr>
                            </w:div>
                            <w:div w:id="1644190523">
                              <w:marLeft w:val="0"/>
                              <w:marRight w:val="0"/>
                              <w:marTop w:val="0"/>
                              <w:marBottom w:val="0"/>
                              <w:divBdr>
                                <w:top w:val="none" w:sz="0" w:space="0" w:color="auto"/>
                                <w:left w:val="none" w:sz="0" w:space="0" w:color="auto"/>
                                <w:bottom w:val="none" w:sz="0" w:space="0" w:color="auto"/>
                                <w:right w:val="none" w:sz="0" w:space="0" w:color="auto"/>
                              </w:divBdr>
                            </w:div>
                            <w:div w:id="14111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45</Words>
  <Characters>262</Characters>
  <Application>Microsoft Office Word</Application>
  <DocSecurity>0</DocSecurity>
  <Lines>2</Lines>
  <Paragraphs>1</Paragraphs>
  <ScaleCrop>false</ScaleCrop>
  <Company>鹭岛小千</Company>
  <LinksUpToDate>false</LinksUpToDate>
  <CharactersWithSpaces>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小千办公</dc:creator>
  <cp:lastModifiedBy>shaoqian</cp:lastModifiedBy>
  <cp:revision>2</cp:revision>
  <dcterms:created xsi:type="dcterms:W3CDTF">2012-12-20T14:08:00Z</dcterms:created>
  <dcterms:modified xsi:type="dcterms:W3CDTF">2012-12-20T14:17:00Z</dcterms:modified>
</cp:coreProperties>
</file>